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b/>
          <w:bCs w:val="0"/>
        </w:rPr>
      </w:pPr>
      <w:bookmarkStart w:id="0" w:name="_GoBack"/>
      <w:bookmarkEnd w:id="0"/>
    </w:p>
    <w:p>
      <w:pPr>
        <w:pStyle w:val="2"/>
        <w:rPr>
          <w:rFonts w:ascii="宋体" w:hAnsi="宋体" w:eastAsia="宋体" w:cs="宋体"/>
          <w:b/>
          <w:bCs w:val="0"/>
        </w:rPr>
      </w:pPr>
      <w:r>
        <w:rPr>
          <w:rFonts w:hint="eastAsia" w:ascii="宋体" w:hAnsi="宋体" w:eastAsia="宋体" w:cs="宋体"/>
          <w:b/>
          <w:bCs w:val="0"/>
        </w:rPr>
        <w:t>北岳文艺出版社有限责任公司</w:t>
      </w:r>
    </w:p>
    <w:p>
      <w:pPr>
        <w:pStyle w:val="2"/>
        <w:rPr>
          <w:rFonts w:ascii="宋体" w:hAnsi="宋体" w:eastAsia="宋体" w:cs="宋体"/>
          <w:b/>
          <w:bCs w:val="0"/>
        </w:rPr>
      </w:pPr>
      <w:r>
        <w:rPr>
          <w:rFonts w:hint="eastAsia" w:ascii="宋体" w:hAnsi="宋体" w:eastAsia="宋体" w:cs="宋体"/>
          <w:b/>
          <w:bCs w:val="0"/>
        </w:rPr>
        <w:t>202</w:t>
      </w:r>
      <w:r>
        <w:rPr>
          <w:rFonts w:hint="eastAsia" w:ascii="宋体" w:hAnsi="宋体" w:eastAsia="宋体" w:cs="宋体"/>
          <w:b/>
          <w:bCs w:val="0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</w:rPr>
        <w:t>年1—3月财务等重大信息</w:t>
      </w:r>
    </w:p>
    <w:p>
      <w:pPr>
        <w:pStyle w:val="3"/>
        <w:spacing w:before="312" w:after="156"/>
        <w:ind w:firstLine="562"/>
      </w:pPr>
      <w:r>
        <w:rPr>
          <w:rFonts w:hint="eastAsia"/>
        </w:rPr>
        <w:t>一、企业基本情况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中文名称：北岳文艺出版社有限责任公司  简称：北岳文艺出版社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0"/>
        <w:textAlignment w:val="auto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英文名称：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Beiyue Literature &amp; Art Publishing House Co.,Ltd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  缩写：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BYLAP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郭文礼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股东名称：山西出版传媒集团有限责任公司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注册地址：太原市并州南路57号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办公地址：太原市并州南路57号  邮政编码：030012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0"/>
        <w:textAlignment w:val="auto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</w:rPr>
        <w:t>网址：</w:t>
      </w:r>
      <w:r>
        <w:fldChar w:fldCharType="begin"/>
      </w:r>
      <w:r>
        <w:instrText xml:space="preserve"> HYPERLINK "http://www.bywy.com/" </w:instrText>
      </w:r>
      <w: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>www.bywy.com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0"/>
        <w:textAlignment w:val="auto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电子信箱：</w:t>
      </w:r>
      <w:r>
        <w:rPr>
          <w:rFonts w:hint="eastAsia" w:ascii="仿宋" w:hAnsi="仿宋" w:eastAsia="仿宋" w:cs="仿宋"/>
          <w:sz w:val="28"/>
          <w:szCs w:val="28"/>
        </w:rPr>
        <w:t>bywycbs@126.com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经营范围：</w:t>
      </w:r>
      <w:r>
        <w:rPr>
          <w:rFonts w:hint="eastAsia" w:ascii="仿宋" w:hAnsi="仿宋" w:eastAsia="仿宋" w:cs="仿宋"/>
          <w:kern w:val="0"/>
          <w:sz w:val="28"/>
          <w:szCs w:val="28"/>
        </w:rPr>
        <w:t>出版发行文艺类图书及相关设计。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简介：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北岳文艺出版社是一家从事文学、文艺、文史、文教读物出版的专业出版机构。成立于1984年，以北岳恒山命名，属意出版事业传承文明之高远博大，现为山西出版传媒集团旗下成员单位。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我社主要出版方向为：本省作家作品；现代、当代中国和外国文艺经典作品；文艺理论、文艺批评专著；少儿文艺作品及古代优秀文艺作品等。三十年来，已出版各类图书3000余种，年均出书达300余种。</w:t>
      </w:r>
    </w:p>
    <w:p>
      <w:pPr>
        <w:pStyle w:val="3"/>
        <w:spacing w:before="312" w:after="156"/>
        <w:ind w:left="0" w:leftChars="0" w:firstLine="1124" w:firstLineChars="400"/>
      </w:pPr>
      <w:r>
        <w:rPr>
          <w:rFonts w:hint="eastAsia"/>
        </w:rPr>
        <w:t>二、主要会计数据和财务指标</w:t>
      </w:r>
    </w:p>
    <w:p>
      <w:pPr>
        <w:spacing w:after="156" w:afterLines="50"/>
        <w:ind w:left="0" w:leftChars="0"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年1-3月北岳社主要会计数据和财务指标如下：</w:t>
      </w:r>
    </w:p>
    <w:tbl>
      <w:tblPr>
        <w:tblStyle w:val="7"/>
        <w:tblW w:w="8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984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项  目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年初余额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期末余额（1-3）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变动比率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资产总额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3805.07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3971.74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4.38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应收账款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184.73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431.16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133.40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存货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2053.29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2161.22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5.26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固定资产净值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551.82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544.03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-1.4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负债总额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1237.81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1492.04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20.54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应付账款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471.43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711.24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50.87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应交税费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40.19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4.53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-111.26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所有者权益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2567.26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2479.69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240" w:rightChars="100" w:firstLine="420"/>
              <w:jc w:val="right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3.41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%</w:t>
            </w:r>
          </w:p>
        </w:tc>
      </w:tr>
    </w:tbl>
    <w:p>
      <w:pPr>
        <w:ind w:firstLine="0" w:firstLineChars="0"/>
        <w:rPr>
          <w:rFonts w:asciiTheme="minorEastAsia" w:hAnsiTheme="minorEastAsia"/>
          <w:szCs w:val="24"/>
        </w:rPr>
      </w:pPr>
    </w:p>
    <w:tbl>
      <w:tblPr>
        <w:tblStyle w:val="7"/>
        <w:tblW w:w="8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984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项  目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本年实际（1-3）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( 万元)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上年同期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变动比率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ind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营业收入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356.73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570.76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-37.50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销售费用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77.90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115.15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32.35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管理费用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0.10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163.84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2.28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财务费用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1.46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1.82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-1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9.81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利润总额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87.57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70.59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24.05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净利润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87.57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70.59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240" w:rightChars="100" w:firstLine="420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24.05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%</w:t>
            </w:r>
          </w:p>
        </w:tc>
      </w:tr>
    </w:tbl>
    <w:p>
      <w:pPr>
        <w:ind w:firstLine="0" w:firstLineChars="0"/>
        <w:rPr>
          <w:rFonts w:asciiTheme="minorEastAsia" w:hAnsiTheme="minorEastAsia"/>
          <w:szCs w:val="24"/>
        </w:rPr>
      </w:pP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360" w:lineRule="auto"/>
        <w:ind w:firstLine="562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三、控股股东及实际控制人变更情况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我公司控股股东及实际控制人为山西出版传媒集团有限责任公司。报告期内我公司控股股东及实际控制人无变化。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360" w:lineRule="auto"/>
        <w:ind w:firstLine="562"/>
        <w:textAlignment w:val="auto"/>
      </w:pPr>
      <w:r>
        <w:rPr>
          <w:rFonts w:hint="eastAsia"/>
        </w:rPr>
        <w:t>四、财务预算执行情况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北岳文艺出版社有限责任公司202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年全年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基础目标值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营业收入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2400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万元，利润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持平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。1-3月实现营业收入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356.73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万元，利润总额-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87.57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万元。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（备注：基础目标是本社上报数字，集团任务尚未下发。）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360" w:lineRule="auto"/>
        <w:ind w:firstLine="562"/>
        <w:textAlignment w:val="auto"/>
        <w:rPr>
          <w:highlight w:val="none"/>
        </w:rPr>
      </w:pPr>
      <w:r>
        <w:rPr>
          <w:rFonts w:hint="eastAsia"/>
          <w:highlight w:val="none"/>
        </w:rPr>
        <w:t>五、财务会计报告摘要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0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截至2022年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3月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,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北岳社实现营业总收入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356.73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万元，同比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降幅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214.03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万元，增幅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37.50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%；实现净利润-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87.57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万元，同比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增加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亏损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16.98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万元，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增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亏幅度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24.05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%。发生三项费用总计为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239.46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万元，同比减少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41.34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降幅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14.72</w:t>
      </w:r>
      <w:r>
        <w:rPr>
          <w:rFonts w:hint="eastAsia" w:ascii="仿宋" w:hAnsi="仿宋" w:eastAsia="仿宋" w:cs="仿宋"/>
          <w:kern w:val="0"/>
          <w:sz w:val="28"/>
          <w:szCs w:val="28"/>
        </w:rPr>
        <w:t>%，其中管理费用发生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160.10</w:t>
      </w:r>
      <w:r>
        <w:rPr>
          <w:rFonts w:hint="eastAsia" w:ascii="仿宋" w:hAnsi="仿宋" w:eastAsia="仿宋" w:cs="仿宋"/>
          <w:kern w:val="0"/>
          <w:sz w:val="28"/>
          <w:szCs w:val="28"/>
        </w:rPr>
        <w:t>万元，同比减少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3.74</w:t>
      </w:r>
      <w:r>
        <w:rPr>
          <w:rFonts w:hint="eastAsia" w:ascii="仿宋" w:hAnsi="仿宋" w:eastAsia="仿宋" w:cs="仿宋"/>
          <w:kern w:val="0"/>
          <w:sz w:val="28"/>
          <w:szCs w:val="28"/>
        </w:rPr>
        <w:t>万元，降幅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2.28</w:t>
      </w:r>
      <w:r>
        <w:rPr>
          <w:rFonts w:hint="eastAsia" w:ascii="仿宋" w:hAnsi="仿宋" w:eastAsia="仿宋" w:cs="仿宋"/>
          <w:kern w:val="0"/>
          <w:sz w:val="28"/>
          <w:szCs w:val="28"/>
        </w:rPr>
        <w:t>%；销售费用发生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77.90</w:t>
      </w:r>
      <w:r>
        <w:rPr>
          <w:rFonts w:hint="eastAsia" w:ascii="仿宋" w:hAnsi="仿宋" w:eastAsia="仿宋" w:cs="仿宋"/>
          <w:kern w:val="0"/>
          <w:sz w:val="28"/>
          <w:szCs w:val="28"/>
        </w:rPr>
        <w:t>万元，同比减少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37.25</w:t>
      </w:r>
      <w:r>
        <w:rPr>
          <w:rFonts w:hint="eastAsia" w:ascii="仿宋" w:hAnsi="仿宋" w:eastAsia="仿宋" w:cs="仿宋"/>
          <w:kern w:val="0"/>
          <w:sz w:val="28"/>
          <w:szCs w:val="28"/>
        </w:rPr>
        <w:t>万元，降幅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32.35</w:t>
      </w:r>
      <w:r>
        <w:rPr>
          <w:rFonts w:hint="eastAsia" w:ascii="仿宋" w:hAnsi="仿宋" w:eastAsia="仿宋" w:cs="仿宋"/>
          <w:kern w:val="0"/>
          <w:sz w:val="28"/>
          <w:szCs w:val="28"/>
        </w:rPr>
        <w:t>%；财务费用为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1.46</w:t>
      </w:r>
      <w:r>
        <w:rPr>
          <w:rFonts w:hint="eastAsia" w:ascii="仿宋" w:hAnsi="仿宋" w:eastAsia="仿宋" w:cs="仿宋"/>
          <w:kern w:val="0"/>
          <w:sz w:val="28"/>
          <w:szCs w:val="28"/>
        </w:rPr>
        <w:t>万元，同比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减少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0.36</w:t>
      </w:r>
      <w:r>
        <w:rPr>
          <w:rFonts w:hint="eastAsia" w:ascii="仿宋" w:hAnsi="仿宋" w:eastAsia="仿宋" w:cs="仿宋"/>
          <w:kern w:val="0"/>
          <w:sz w:val="28"/>
          <w:szCs w:val="28"/>
        </w:rPr>
        <w:t>万元。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0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截至202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</w:rPr>
        <w:t>年3月，北岳社资产总计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3971.74</w:t>
      </w:r>
      <w:r>
        <w:rPr>
          <w:rFonts w:hint="eastAsia" w:ascii="仿宋" w:hAnsi="仿宋" w:eastAsia="仿宋" w:cs="仿宋"/>
          <w:kern w:val="0"/>
          <w:sz w:val="28"/>
          <w:szCs w:val="28"/>
        </w:rPr>
        <w:t>万元，比年初增加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166.67</w:t>
      </w:r>
      <w:r>
        <w:rPr>
          <w:rFonts w:hint="eastAsia" w:ascii="仿宋" w:hAnsi="仿宋" w:eastAsia="仿宋" w:cs="仿宋"/>
          <w:kern w:val="0"/>
          <w:sz w:val="28"/>
          <w:szCs w:val="28"/>
        </w:rPr>
        <w:t>万元，增幅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4.38</w:t>
      </w:r>
      <w:r>
        <w:rPr>
          <w:rFonts w:hint="eastAsia" w:ascii="仿宋" w:hAnsi="仿宋" w:eastAsia="仿宋" w:cs="仿宋"/>
          <w:kern w:val="0"/>
          <w:sz w:val="28"/>
          <w:szCs w:val="28"/>
        </w:rPr>
        <w:t>%。其中应收账款期末余额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431.16</w:t>
      </w:r>
      <w:r>
        <w:rPr>
          <w:rFonts w:hint="eastAsia" w:ascii="仿宋" w:hAnsi="仿宋" w:eastAsia="仿宋" w:cs="仿宋"/>
          <w:kern w:val="0"/>
          <w:sz w:val="28"/>
          <w:szCs w:val="28"/>
        </w:rPr>
        <w:t>万元，比年初增加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246.43</w:t>
      </w:r>
      <w:r>
        <w:rPr>
          <w:rFonts w:hint="eastAsia" w:ascii="仿宋" w:hAnsi="仿宋" w:eastAsia="仿宋" w:cs="仿宋"/>
          <w:kern w:val="0"/>
          <w:sz w:val="28"/>
          <w:szCs w:val="28"/>
        </w:rPr>
        <w:t>万元，增幅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133.40</w:t>
      </w:r>
      <w:r>
        <w:rPr>
          <w:rFonts w:hint="eastAsia" w:ascii="仿宋" w:hAnsi="仿宋" w:eastAsia="仿宋" w:cs="仿宋"/>
          <w:kern w:val="0"/>
          <w:sz w:val="28"/>
          <w:szCs w:val="28"/>
        </w:rPr>
        <w:t>%。负债总额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1492.04</w:t>
      </w:r>
      <w:r>
        <w:rPr>
          <w:rFonts w:hint="eastAsia" w:ascii="仿宋" w:hAnsi="仿宋" w:eastAsia="仿宋" w:cs="仿宋"/>
          <w:kern w:val="0"/>
          <w:sz w:val="28"/>
          <w:szCs w:val="28"/>
        </w:rPr>
        <w:t>万元，比年初增加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254.24</w:t>
      </w:r>
      <w:r>
        <w:rPr>
          <w:rFonts w:hint="eastAsia" w:ascii="仿宋" w:hAnsi="仿宋" w:eastAsia="仿宋" w:cs="仿宋"/>
          <w:kern w:val="0"/>
          <w:sz w:val="28"/>
          <w:szCs w:val="28"/>
        </w:rPr>
        <w:t>万元，增幅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20.54</w:t>
      </w:r>
      <w:r>
        <w:rPr>
          <w:rFonts w:hint="eastAsia" w:ascii="仿宋" w:hAnsi="仿宋" w:eastAsia="仿宋" w:cs="仿宋"/>
          <w:kern w:val="0"/>
          <w:sz w:val="28"/>
          <w:szCs w:val="28"/>
        </w:rPr>
        <w:t>%。其中应付账款期末余额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711.24</w:t>
      </w:r>
      <w:r>
        <w:rPr>
          <w:rFonts w:hint="eastAsia" w:ascii="仿宋" w:hAnsi="仿宋" w:eastAsia="仿宋" w:cs="仿宋"/>
          <w:kern w:val="0"/>
          <w:sz w:val="28"/>
          <w:szCs w:val="28"/>
        </w:rPr>
        <w:t>万元，比年初增加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239.81</w:t>
      </w:r>
      <w:r>
        <w:rPr>
          <w:rFonts w:hint="eastAsia" w:ascii="仿宋" w:hAnsi="仿宋" w:eastAsia="仿宋" w:cs="仿宋"/>
          <w:kern w:val="0"/>
          <w:sz w:val="28"/>
          <w:szCs w:val="28"/>
        </w:rPr>
        <w:t>万元，增幅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50.87%</w:t>
      </w:r>
      <w:r>
        <w:rPr>
          <w:rFonts w:hint="eastAsia" w:ascii="仿宋" w:hAnsi="仿宋" w:eastAsia="仿宋" w:cs="仿宋"/>
          <w:kern w:val="0"/>
          <w:sz w:val="28"/>
          <w:szCs w:val="28"/>
        </w:rPr>
        <w:t>。所有者权益总额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2479.69</w:t>
      </w:r>
      <w:r>
        <w:rPr>
          <w:rFonts w:hint="eastAsia" w:ascii="仿宋" w:hAnsi="仿宋" w:eastAsia="仿宋" w:cs="仿宋"/>
          <w:kern w:val="0"/>
          <w:sz w:val="28"/>
          <w:szCs w:val="28"/>
        </w:rPr>
        <w:t>万元，比年初减少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87.57</w:t>
      </w:r>
      <w:r>
        <w:rPr>
          <w:rFonts w:hint="eastAsia" w:ascii="仿宋" w:hAnsi="仿宋" w:eastAsia="仿宋" w:cs="仿宋"/>
          <w:kern w:val="0"/>
          <w:sz w:val="28"/>
          <w:szCs w:val="28"/>
        </w:rPr>
        <w:t>万元，降幅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3.41</w:t>
      </w:r>
      <w:r>
        <w:rPr>
          <w:rFonts w:hint="eastAsia" w:ascii="仿宋" w:hAnsi="仿宋" w:eastAsia="仿宋" w:cs="仿宋"/>
          <w:kern w:val="0"/>
          <w:sz w:val="28"/>
          <w:szCs w:val="28"/>
        </w:rPr>
        <w:t>%。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360" w:lineRule="auto"/>
        <w:ind w:firstLine="562"/>
        <w:textAlignment w:val="auto"/>
      </w:pPr>
      <w:r>
        <w:rPr>
          <w:rFonts w:hint="eastAsia"/>
        </w:rPr>
        <w:t>六、环境保护情况</w:t>
      </w:r>
    </w:p>
    <w:p>
      <w:pPr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北岳社所涉行业不涉及节能降耗、矿山绿化、“三废”治理、环保设施、污染物排放等环境保护问题。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80"/>
        <w:textAlignment w:val="auto"/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80"/>
        <w:textAlignment w:val="auto"/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0"/>
        <w:jc w:val="center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0"/>
        <w:jc w:val="center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/>
          <w:sz w:val="28"/>
          <w:szCs w:val="28"/>
        </w:rPr>
        <w:t>北岳文艺出版社有限责任公司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0"/>
        <w:jc w:val="center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       2022年4月19日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0" w:firstLineChars="0"/>
        <w:jc w:val="both"/>
        <w:textAlignment w:val="auto"/>
      </w:pPr>
      <w:r>
        <w:rPr>
          <w:rFonts w:hint="eastAsia" w:ascii="仿宋" w:hAnsi="仿宋" w:eastAsia="仿宋"/>
        </w:rPr>
        <w:t xml:space="preserve">                          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1230703"/>
    </w:sdtPr>
    <w:sdtContent>
      <w:p>
        <w:pPr>
          <w:pStyle w:val="5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BC"/>
    <w:rsid w:val="000073E3"/>
    <w:rsid w:val="00053CB6"/>
    <w:rsid w:val="00090103"/>
    <w:rsid w:val="000A4896"/>
    <w:rsid w:val="000C19A2"/>
    <w:rsid w:val="000C6B71"/>
    <w:rsid w:val="000D6024"/>
    <w:rsid w:val="000E2B21"/>
    <w:rsid w:val="000E4D0C"/>
    <w:rsid w:val="00102580"/>
    <w:rsid w:val="00116B89"/>
    <w:rsid w:val="001750E8"/>
    <w:rsid w:val="00200F5A"/>
    <w:rsid w:val="002269A3"/>
    <w:rsid w:val="002270EC"/>
    <w:rsid w:val="0026060F"/>
    <w:rsid w:val="00291556"/>
    <w:rsid w:val="002A2854"/>
    <w:rsid w:val="002D385D"/>
    <w:rsid w:val="003079AA"/>
    <w:rsid w:val="00335B35"/>
    <w:rsid w:val="00346B5D"/>
    <w:rsid w:val="003B40C2"/>
    <w:rsid w:val="003D667B"/>
    <w:rsid w:val="00401D9F"/>
    <w:rsid w:val="004E64F9"/>
    <w:rsid w:val="00514365"/>
    <w:rsid w:val="00535387"/>
    <w:rsid w:val="0059606E"/>
    <w:rsid w:val="005A63D6"/>
    <w:rsid w:val="005C53E2"/>
    <w:rsid w:val="005E1290"/>
    <w:rsid w:val="0065266A"/>
    <w:rsid w:val="0065737C"/>
    <w:rsid w:val="00662081"/>
    <w:rsid w:val="00675A6D"/>
    <w:rsid w:val="006926B8"/>
    <w:rsid w:val="006A528D"/>
    <w:rsid w:val="006B55B0"/>
    <w:rsid w:val="00714D6A"/>
    <w:rsid w:val="00733DE7"/>
    <w:rsid w:val="007517FD"/>
    <w:rsid w:val="007620CB"/>
    <w:rsid w:val="007B0C4E"/>
    <w:rsid w:val="007B2347"/>
    <w:rsid w:val="007C2BAC"/>
    <w:rsid w:val="00812D36"/>
    <w:rsid w:val="00815445"/>
    <w:rsid w:val="008608CB"/>
    <w:rsid w:val="008F7ED4"/>
    <w:rsid w:val="00910688"/>
    <w:rsid w:val="00945C30"/>
    <w:rsid w:val="00976B40"/>
    <w:rsid w:val="00982851"/>
    <w:rsid w:val="00A1533E"/>
    <w:rsid w:val="00A16A26"/>
    <w:rsid w:val="00A2719B"/>
    <w:rsid w:val="00A74776"/>
    <w:rsid w:val="00B15DB7"/>
    <w:rsid w:val="00B3154D"/>
    <w:rsid w:val="00B75708"/>
    <w:rsid w:val="00BE1547"/>
    <w:rsid w:val="00C21DF5"/>
    <w:rsid w:val="00C2637C"/>
    <w:rsid w:val="00CC79AE"/>
    <w:rsid w:val="00CF07BC"/>
    <w:rsid w:val="00D04D78"/>
    <w:rsid w:val="00D37F20"/>
    <w:rsid w:val="00D60EA8"/>
    <w:rsid w:val="00E1105A"/>
    <w:rsid w:val="00E30B1F"/>
    <w:rsid w:val="00E43D26"/>
    <w:rsid w:val="00E4510E"/>
    <w:rsid w:val="00E578BC"/>
    <w:rsid w:val="00E57A9A"/>
    <w:rsid w:val="00E70C8E"/>
    <w:rsid w:val="00E7645F"/>
    <w:rsid w:val="00E85788"/>
    <w:rsid w:val="00E867AD"/>
    <w:rsid w:val="00E904AE"/>
    <w:rsid w:val="00E94260"/>
    <w:rsid w:val="00EB0148"/>
    <w:rsid w:val="00ED59EA"/>
    <w:rsid w:val="00EF687B"/>
    <w:rsid w:val="00F217AB"/>
    <w:rsid w:val="00F35F30"/>
    <w:rsid w:val="00F361AA"/>
    <w:rsid w:val="00F90DA5"/>
    <w:rsid w:val="00FE1AEA"/>
    <w:rsid w:val="04B83165"/>
    <w:rsid w:val="09FC3C75"/>
    <w:rsid w:val="0FB17F3D"/>
    <w:rsid w:val="1412618B"/>
    <w:rsid w:val="160A75E3"/>
    <w:rsid w:val="215870FC"/>
    <w:rsid w:val="225871F2"/>
    <w:rsid w:val="2BB7305F"/>
    <w:rsid w:val="3CC06761"/>
    <w:rsid w:val="46574D8D"/>
    <w:rsid w:val="46C55004"/>
    <w:rsid w:val="53095690"/>
    <w:rsid w:val="570126DF"/>
    <w:rsid w:val="6B347837"/>
    <w:rsid w:val="75100E5A"/>
    <w:rsid w:val="77E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line="240" w:lineRule="auto"/>
      <w:ind w:firstLine="0" w:firstLineChars="0"/>
      <w:jc w:val="center"/>
      <w:outlineLvl w:val="0"/>
    </w:pPr>
    <w:rPr>
      <w:rFonts w:eastAsia="黑体" w:asciiTheme="minorHAnsi" w:hAnsiTheme="minorHAnsi" w:cstheme="minorBidi"/>
      <w:bCs/>
      <w:kern w:val="44"/>
      <w:sz w:val="32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Lines="100" w:afterLines="50"/>
      <w:jc w:val="left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0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28"/>
      <w:szCs w:val="32"/>
    </w:rPr>
  </w:style>
  <w:style w:type="character" w:customStyle="1" w:styleId="11">
    <w:name w:val="页脚 Char"/>
    <w:basedOn w:val="8"/>
    <w:link w:val="5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2">
    <w:name w:val="页眉 Char"/>
    <w:basedOn w:val="8"/>
    <w:link w:val="6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95128B-1F83-4922-B97E-F391952B9E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1040</Words>
  <Characters>1525</Characters>
  <Lines>12</Lines>
  <Paragraphs>3</Paragraphs>
  <TotalTime>55</TotalTime>
  <ScaleCrop>false</ScaleCrop>
  <LinksUpToDate>false</LinksUpToDate>
  <CharactersWithSpaces>1677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2021-04-08T03:34:00Z</dcterms:created>
  <dc:creator>cw-zsy</dc:creator>
  <cp:lastModifiedBy>永</cp:lastModifiedBy>
  <cp:lastPrinted>2022-04-19T03:34:00Z</cp:lastPrinted>
  <dcterms:modified xsi:type="dcterms:W3CDTF">2022-04-20T01:34:04Z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6DAC4E50635E46D19A332284AD3288D4</vt:lpwstr>
  </property>
</Properties>
</file>